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聊城市水利局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根据《中华人民共和国政府信息公开条例》（国务院令第711号，以下简称《条例》）、《国务院办公厅政府信息与政务公开办公室关于印发&lt;中华人民共和国政府信息公开工作年度报告格式&gt;的通知》(国办公开办函〔2021〕30号)要求，市水利局编制了本部门2023年政府信息公开年度报告。全文内容包括总体情况、主动公开政府信息情况、收到和处理政府信息公开申请情况、因政府信息公开工作被申请行政复议和提起行政诉讼情况、存在的主要问题及改进情况及其他需报告的事项六部分。本年度报告中所列数据统计期限从2023年1月1日至12月31日止。本年度报告电子版可从聊城市水利局网站（http://slj.liaocheng.gov.cn）查阅或下载。</w:t>
      </w:r>
    </w:p>
    <w:p>
      <w:pPr>
        <w:spacing w:line="600" w:lineRule="exact"/>
        <w:ind w:firstLine="640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3年</w:t>
      </w:r>
      <w:r>
        <w:rPr>
          <w:rFonts w:hint="eastAsia" w:ascii="仿宋_GB2312" w:eastAsia="仿宋_GB2312"/>
          <w:color w:val="auto"/>
          <w:sz w:val="32"/>
          <w:szCs w:val="32"/>
        </w:rPr>
        <w:t>，市水利局深入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学习贯彻</w:t>
      </w:r>
      <w:r>
        <w:rPr>
          <w:rFonts w:hint="eastAsia" w:ascii="仿宋_GB2312" w:eastAsia="仿宋_GB2312"/>
          <w:color w:val="auto"/>
          <w:sz w:val="32"/>
          <w:szCs w:val="32"/>
        </w:rPr>
        <w:t>《条例》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，按照全市政务公开工作安排部署，深入推动《聊城市 2023 年政</w:t>
      </w:r>
      <w:bookmarkStart w:id="10" w:name="_GoBack"/>
      <w:bookmarkEnd w:id="10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务公开工作要点》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任务目标落实，全局政务公开工作水平进一步提升。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做好主动公开工作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认真落实《条例》关于主动公开的规定要求，公开机构职能等概况类信息27条，公开政策及解读类信息66条，公开重大水利项目信息30条，公开雨水情信息89条，公开局长办公会议及解读信息32条，公开行政执法信息7条；公开了部门2023年度财政预算和2022年度财政决算信息；公开了行政许可和其他对外管理服务事项的依据、条件、程序以及办理结果，实施行政处罚、行政强制的依据、条件、程序及行政处罚决定；公开了公务员招录信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规范依申请公开办理。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规范依申请公开接收、登记、办理、答复、归档等流程，注重与申请人沟通，全面提升依申请公开工作质量。全年共受理政府信息公开申请11件，较2022年度增长10%，其中：予以公开5件，本机关不掌握相关信息6件。11件申请均按期办结，未引发行政复议和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080000" cy="3810000"/>
            <wp:effectExtent l="4445" t="4445" r="20955" b="1460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（三）强化政府信息管理。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更新调整并发布了《聊城市水利局政府信息主动公开基本目录（2023年）》，明确公开时限、公开方式和责任单位；定期对行政规范性文件进行清理，现行有效的行政规范性文件数量为0；完善政府信息公开保密审查机制，确保信息先审核后发布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（四）加强公开平台建设。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进一步优化部门网站，根据部门主动公开目录调整网站栏目，全年发布信息948条。加强政务新媒体管理，坚持集中力量做优做强主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账号,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全年通过“聊城水利”微信公众号发布信息1325条。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080000" cy="3810000"/>
            <wp:effectExtent l="4445" t="4445" r="20955" b="146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（五）完善监督保障体系。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调整了局政务公开工作领导小组，制定了《聊城市水利局2023年度政务公开工作实施方案》，举办了全局政务公开培训会议，并将政务公开工作纳入日常各科室、单位考评内容。</w:t>
      </w:r>
    </w:p>
    <w:p>
      <w:pPr>
        <w:spacing w:line="600" w:lineRule="exact"/>
        <w:ind w:firstLine="640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行政机关主动公开政府信息情况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表1</w:t>
      </w:r>
      <w:r>
        <w:rPr>
          <w:rFonts w:hint="eastAsia" w:ascii="仿宋_GB2312" w:eastAsia="仿宋_GB2312"/>
          <w:sz w:val="28"/>
          <w:szCs w:val="28"/>
        </w:rPr>
        <w:t xml:space="preserve"> 主动公开政府信息情况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行政机关收到和处理政府信息公开申请情况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表2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收到和处理政府信息公开申请情况</w:t>
      </w:r>
    </w:p>
    <w:tbl>
      <w:tblPr>
        <w:tblStyle w:val="7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四、因政府信息公开工作被申请行政复议、提起行政诉讼情况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表3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因政府信息公开工作被申请行政复议、提起行政诉讼情况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五、政府信息公开工作存在的主要问题及改进情况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2023年，市水利局在政务公开工作中还存在一些问题和不足。一是政务公开工作机制建设还存在薄弱环节。二是政策解读在针对性和解读形式方面还有一定差距。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针对这些问题，在下一步工作中将采取以下措施重点改进。一是完善政务公开机制建设。调整政务公开工作领导小组，强化政务公开工作组织领导；认真研究政务公开工作形势和工作重点，制定年度政务公开工作要点，梳理、压实局内部政务公开工作责任；规范政务公开工作流程，强化标准化、规范化建设。二是深化政策文件解读公开。根据不同政策文件的特点，采用新闻发布、图文解读、简明问答、专家解读、媒体解读等多种方式，聚焦惠企利民举措、新旧政策差异等内容，进行深度解读、延伸解读，力求全面、客观、准确。三是强化政务公开培训和宣传。组织做好政务公开培训，提高全局公开意识，促进公开责任落实。结合水利工作特点，组织开展内容丰富、形式多样的政务公开活动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（一）依申请公开信息处理费收费情况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市水利局2023年未收取政府信息公开处理费。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（二）人大代表建议和政协提案办理结果公开情况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2023年，市水利局承办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人大建议</w:t>
      </w:r>
      <w:r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件，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政协提案3件，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涉及现代水网建设、河湖长制等工作。6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件建议提案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办理结果和总体情况已全部公开。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080000" cy="3810000"/>
            <wp:effectExtent l="4445" t="4445" r="20955" b="1460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（三）贯彻落实全市政务公开工作要点情况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2023年，市水利局认真贯彻落实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" w:eastAsia="zh-CN"/>
        </w:rPr>
        <w:t>《聊城市2023年政务公开工作要点》，全面推动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全局政务公开工作高质量发展。一是研究制定本部门政务公开工作实施方案，明确责任单位，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逐项推动落实。二是抓好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放管服、行政执法、重点项目、财政预决算、决策公开等重点领域公开。三是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水资源节约管理、水旱灾害防御、河湖长制落实、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水利建设管理等水利中心工作做好公开。四是进一步规范政策发布，丰富政策解读形式，提高政策解读质量。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饰艺体W5">
    <w:panose1 w:val="04020509000000000000"/>
    <w:charset w:val="86"/>
    <w:family w:val="auto"/>
    <w:pitch w:val="default"/>
    <w:sig w:usb0="800002BF" w:usb1="184F6CFA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57941D"/>
    <w:multiLevelType w:val="singleLevel"/>
    <w:tmpl w:val="B557941D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D1"/>
    <w:rsid w:val="00022AAA"/>
    <w:rsid w:val="000E1E7C"/>
    <w:rsid w:val="001E1F91"/>
    <w:rsid w:val="00266991"/>
    <w:rsid w:val="0027479F"/>
    <w:rsid w:val="002D7F9F"/>
    <w:rsid w:val="0036007F"/>
    <w:rsid w:val="00397CF8"/>
    <w:rsid w:val="00563328"/>
    <w:rsid w:val="008E39CD"/>
    <w:rsid w:val="009554FD"/>
    <w:rsid w:val="009E446A"/>
    <w:rsid w:val="00A90400"/>
    <w:rsid w:val="00B7698A"/>
    <w:rsid w:val="00B83CAB"/>
    <w:rsid w:val="00C654CB"/>
    <w:rsid w:val="00C97F51"/>
    <w:rsid w:val="00CB1DB6"/>
    <w:rsid w:val="00CB63D1"/>
    <w:rsid w:val="00F00377"/>
    <w:rsid w:val="00F97B01"/>
    <w:rsid w:val="3EEF3CC3"/>
    <w:rsid w:val="3FE6D127"/>
    <w:rsid w:val="4FFB182F"/>
    <w:rsid w:val="5E7FFEB8"/>
    <w:rsid w:val="6BBF0FD6"/>
    <w:rsid w:val="6FDD019F"/>
    <w:rsid w:val="759F9CDA"/>
    <w:rsid w:val="75FE073A"/>
    <w:rsid w:val="7B7F5942"/>
    <w:rsid w:val="7D6D65D9"/>
    <w:rsid w:val="7F8F5F24"/>
    <w:rsid w:val="7FF70DC5"/>
    <w:rsid w:val="97BA17A2"/>
    <w:rsid w:val="B3BFED9E"/>
    <w:rsid w:val="BAFFA548"/>
    <w:rsid w:val="BB378C93"/>
    <w:rsid w:val="BEDD5118"/>
    <w:rsid w:val="D1BF25C7"/>
    <w:rsid w:val="E9F3CE41"/>
    <w:rsid w:val="F4DB2B3C"/>
    <w:rsid w:val="F7E1F926"/>
    <w:rsid w:val="F9B3BE8C"/>
    <w:rsid w:val="FC3FDB45"/>
    <w:rsid w:val="FCBCF8BF"/>
    <w:rsid w:val="FDCDE51B"/>
    <w:rsid w:val="FE471C8E"/>
    <w:rsid w:val="FF6E0062"/>
    <w:rsid w:val="FFC6C700"/>
    <w:rsid w:val="FFDCE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rPr>
      <w:rFonts w:ascii="仿宋" w:hAnsi="仿宋" w:eastAsia="仿宋" w:cs="仿宋"/>
      <w:b/>
      <w:bCs/>
      <w:color w:val="000000"/>
      <w:sz w:val="28"/>
      <w:szCs w:val="2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图</a:t>
            </a:r>
            <a:r>
              <a:rPr lang="en-US" altLang="zh-CN"/>
              <a:t>1</a:t>
            </a:r>
            <a:r>
              <a:rPr altLang="en-US"/>
              <a:t>：</a:t>
            </a:r>
            <a:r>
              <a:rPr lang="en-US" altLang="zh-CN"/>
              <a:t>2022-2023</a:t>
            </a:r>
            <a:r>
              <a:rPr altLang="en-US"/>
              <a:t>年依申请公开办理情况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受理数量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2022年</c:v>
                </c:pt>
                <c:pt idx="1">
                  <c:v>2023年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办理数量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2022年</c:v>
                </c:pt>
                <c:pt idx="1">
                  <c:v>2023年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11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883276886"/>
        <c:axId val="613357658"/>
      </c:barChart>
      <c:catAx>
        <c:axId val="883276886"/>
        <c:scaling>
          <c:orientation val="minMax"/>
        </c:scaling>
        <c:delete val="0"/>
        <c:axPos val="b"/>
        <c:title>
          <c:layout/>
          <c:overlay val="0"/>
          <c:spPr>
            <a:noFill/>
            <a:ln>
              <a:noFill/>
            </a:ln>
            <a:effectLst/>
          </c:spPr>
          <c:txPr>
            <a:bodyPr rot="0" spcFirstLastPara="0" vertOverflow="ellipsis" vert="horz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</a:p>
          </c:txPr>
        </c:title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3357658"/>
        <c:crosses val="autoZero"/>
        <c:auto val="1"/>
        <c:lblAlgn val="ctr"/>
        <c:lblOffset val="100"/>
        <c:noMultiLvlLbl val="0"/>
      </c:catAx>
      <c:valAx>
        <c:axId val="613357658"/>
        <c:scaling>
          <c:orientation val="minMax"/>
          <c:max val="12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办理数量（件）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8327688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图</a:t>
            </a:r>
            <a:r>
              <a:rPr lang="en-US" altLang="zh-CN"/>
              <a:t>2</a:t>
            </a:r>
            <a:r>
              <a:rPr altLang="en-US"/>
              <a:t>：</a:t>
            </a:r>
            <a:r>
              <a:rPr lang="en-US" altLang="zh-CN"/>
              <a:t>2023</a:t>
            </a:r>
            <a:r>
              <a:rPr altLang="en-US"/>
              <a:t>年</a:t>
            </a:r>
            <a:r>
              <a:t>公开平台发布信息数量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信息发布数量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网站</c:v>
                </c:pt>
                <c:pt idx="1">
                  <c:v>政务新媒体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948</c:v>
                </c:pt>
                <c:pt idx="1">
                  <c:v>1325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图</a:t>
            </a:r>
            <a:r>
              <a:rPr lang="en-US" altLang="zh-CN"/>
              <a:t>3</a:t>
            </a:r>
            <a:r>
              <a:rPr altLang="en-US"/>
              <a:t>：建议提案办理情况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数量（件）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Sheet1!$B$1:$C$1</c:f>
              <c:strCache>
                <c:ptCount val="2"/>
                <c:pt idx="0">
                  <c:v>建议</c:v>
                </c:pt>
                <c:pt idx="1">
                  <c:v>提案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844091678"/>
        <c:axId val="522668747"/>
      </c:barChart>
      <c:catAx>
        <c:axId val="84409167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2668747"/>
        <c:crosses val="autoZero"/>
        <c:auto val="1"/>
        <c:lblAlgn val="ctr"/>
        <c:lblOffset val="100"/>
        <c:noMultiLvlLbl val="0"/>
      </c:catAx>
      <c:valAx>
        <c:axId val="522668747"/>
        <c:scaling>
          <c:orientation val="minMax"/>
          <c:max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409167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646</Words>
  <Characters>3685</Characters>
  <Lines>30</Lines>
  <Paragraphs>8</Paragraphs>
  <TotalTime>0</TotalTime>
  <ScaleCrop>false</ScaleCrop>
  <LinksUpToDate>false</LinksUpToDate>
  <CharactersWithSpaces>4323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2024-01-04T07:20:00Z</dcterms:created>
  <dc:creator>元华 戚</dc:creator>
  <cp:lastModifiedBy>user</cp:lastModifiedBy>
  <cp:lastPrinted>2024-01-25T23:47:00Z</cp:lastPrinted>
  <dcterms:modified xsi:type="dcterms:W3CDTF">2024-01-29T17:24:44Z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5EF7C697FBA50DCBE1BB9B65959593D3</vt:lpwstr>
  </property>
</Properties>
</file>