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hint="eastAsia" w:ascii="楷体_GB2312" w:hAnsi="楷体_GB2312" w:eastAsia="楷体_GB2312" w:cs="楷体_GB2312"/>
          <w:color w:val="333333"/>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center"/>
        <w:textAlignment w:val="auto"/>
        <w:rPr>
          <w:rFonts w:hint="eastAsia" w:ascii="方正小标宋简体" w:hAnsi="方正小标宋简体" w:eastAsia="方正小标宋简体" w:cs="方正小标宋简体"/>
          <w:color w:val="333333"/>
          <w:sz w:val="36"/>
          <w:szCs w:val="36"/>
          <w:shd w:val="clear" w:color="auto" w:fill="FFFFFF"/>
          <w:lang w:val="en-US" w:eastAsia="zh-CN"/>
        </w:rPr>
      </w:pPr>
      <w:r>
        <w:rPr>
          <w:rFonts w:hint="eastAsia" w:ascii="方正小标宋简体" w:hAnsi="方正小标宋简体" w:eastAsia="方正小标宋简体" w:cs="方正小标宋简体"/>
          <w:color w:val="333333"/>
          <w:sz w:val="36"/>
          <w:szCs w:val="36"/>
          <w:shd w:val="clear" w:color="auto" w:fill="FFFFFF"/>
          <w:lang w:val="en-US" w:eastAsia="zh-CN"/>
        </w:rPr>
        <w:t>市水利局2019年政府信息公开工作年度报告</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ascii="楷体_GB2312" w:hAnsi="楷体_GB2312" w:eastAsia="楷体_GB2312" w:cs="楷体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after="120" w:line="60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根据《中华人民共和国政府信息公开条例》和国务院办公厅政府信息和政务公开办公室关于政府信息公开年度报告的有关要求，市水利局编制了本部门2019年政府信息公开</w:t>
      </w:r>
      <w:r>
        <w:rPr>
          <w:rFonts w:hint="eastAsia" w:ascii="仿宋_GB2312" w:hAnsi="仿宋_GB2312" w:eastAsia="仿宋_GB2312" w:cs="仿宋_GB2312"/>
          <w:color w:val="333333"/>
          <w:sz w:val="32"/>
          <w:szCs w:val="32"/>
          <w:lang w:val="en-US" w:eastAsia="zh-CN"/>
        </w:rPr>
        <w:t>工作年度</w:t>
      </w:r>
      <w:r>
        <w:rPr>
          <w:rFonts w:hint="eastAsia" w:ascii="仿宋_GB2312" w:hAnsi="仿宋_GB2312" w:eastAsia="仿宋_GB2312" w:cs="仿宋_GB2312"/>
          <w:color w:val="333333"/>
          <w:sz w:val="32"/>
          <w:szCs w:val="32"/>
        </w:rPr>
        <w:t>报告。本报告中所列数据的统计期限自2019年1月1日起至2019年12月31日止。</w:t>
      </w:r>
    </w:p>
    <w:p>
      <w:pPr>
        <w:keepNext w:val="0"/>
        <w:keepLines w:val="0"/>
        <w:pageBreakBefore w:val="0"/>
        <w:widowControl w:val="0"/>
        <w:shd w:val="clear" w:color="auto" w:fill="FFFFFF"/>
        <w:kinsoku/>
        <w:wordWrap/>
        <w:overflowPunct/>
        <w:topLinePunct w:val="0"/>
        <w:autoSpaceDE/>
        <w:autoSpaceDN/>
        <w:bidi w:val="0"/>
        <w:adjustRightInd/>
        <w:snapToGrid/>
        <w:spacing w:after="0" w:line="600" w:lineRule="exact"/>
        <w:ind w:firstLine="640" w:firstLineChars="200"/>
        <w:jc w:val="both"/>
        <w:textAlignment w:val="auto"/>
        <w:rPr>
          <w:rFonts w:ascii="黑体" w:hAnsi="黑体" w:eastAsia="黑体"/>
          <w:color w:val="auto"/>
          <w:sz w:val="32"/>
          <w:szCs w:val="32"/>
        </w:rPr>
      </w:pPr>
      <w:r>
        <w:rPr>
          <w:rFonts w:hint="eastAsia" w:ascii="黑体" w:hAnsi="黑体" w:eastAsia="黑体"/>
          <w:bCs/>
          <w:color w:val="auto"/>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after="120" w:line="60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2019以来，市水利局按照《中华人民共和国政府信息公开条例》和《2019年聊城市政务公开工作要点》要求，</w:t>
      </w:r>
      <w:r>
        <w:rPr>
          <w:rFonts w:hint="eastAsia" w:ascii="仿宋_GB2312" w:hAnsi="仿宋_GB2312" w:eastAsia="仿宋_GB2312" w:cs="仿宋_GB2312"/>
          <w:color w:val="333333"/>
          <w:sz w:val="32"/>
          <w:szCs w:val="32"/>
          <w:lang w:eastAsia="zh-CN"/>
        </w:rPr>
        <w:t>立足水利职能，</w:t>
      </w:r>
      <w:r>
        <w:rPr>
          <w:rFonts w:hint="eastAsia" w:ascii="仿宋_GB2312" w:hAnsi="仿宋_GB2312" w:eastAsia="仿宋_GB2312" w:cs="仿宋_GB2312"/>
          <w:color w:val="333333"/>
          <w:sz w:val="32"/>
          <w:szCs w:val="32"/>
        </w:rPr>
        <w:t>围绕重点水利工作，充分利用政府网站和各类媒体平台，进一步加大政府信息公开工作力度，认真做好主动公开和依申请公开工作。</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hint="eastAsia" w:ascii="仿宋_GB2312" w:hAnsi="仿宋_GB2312" w:eastAsia="仿宋_GB2312" w:cs="仿宋_GB2312"/>
          <w:color w:val="333333"/>
          <w:kern w:val="2"/>
          <w:sz w:val="32"/>
          <w:szCs w:val="32"/>
          <w:lang w:val="en-US" w:eastAsia="zh-CN" w:bidi="ar-SA"/>
        </w:rPr>
      </w:pPr>
      <w:r>
        <w:rPr>
          <w:rFonts w:hint="eastAsia" w:ascii="楷体" w:hAnsi="楷体" w:eastAsia="楷体" w:cs="Helvetica"/>
          <w:color w:val="333333"/>
          <w:sz w:val="32"/>
          <w:szCs w:val="32"/>
        </w:rPr>
        <w:t>一是</w:t>
      </w:r>
      <w:r>
        <w:rPr>
          <w:rFonts w:hint="eastAsia" w:ascii="楷体" w:hAnsi="楷体" w:eastAsia="楷体" w:cs="Helvetica"/>
          <w:color w:val="333333"/>
          <w:sz w:val="32"/>
          <w:szCs w:val="32"/>
          <w:lang w:val="en-US" w:eastAsia="zh-CN"/>
        </w:rPr>
        <w:t>加强</w:t>
      </w:r>
      <w:r>
        <w:rPr>
          <w:rFonts w:hint="eastAsia" w:ascii="楷体" w:hAnsi="楷体" w:eastAsia="楷体" w:cs="Helvetica"/>
          <w:color w:val="333333"/>
          <w:sz w:val="32"/>
          <w:szCs w:val="32"/>
        </w:rPr>
        <w:t>组织领导。</w:t>
      </w:r>
      <w:r>
        <w:rPr>
          <w:rFonts w:hint="eastAsia" w:ascii="仿宋_GB2312" w:hAnsi="仿宋_GB2312" w:eastAsia="仿宋_GB2312" w:cs="仿宋_GB2312"/>
          <w:color w:val="333333"/>
          <w:kern w:val="2"/>
          <w:sz w:val="32"/>
          <w:szCs w:val="32"/>
          <w:lang w:val="en-US" w:eastAsia="zh-CN" w:bidi="ar-SA"/>
        </w:rPr>
        <w:t>根据人员变动情况和工作实际需要，调整了政务公开工作领导小组，由单位主要负责人任组长，分管负责人任副组长，各有关科室科长任成员，</w:t>
      </w:r>
      <w:r>
        <w:rPr>
          <w:rFonts w:hint="default" w:ascii="仿宋_GB2312" w:hAnsi="仿宋_GB2312" w:eastAsia="仿宋_GB2312" w:cs="仿宋_GB2312"/>
          <w:color w:val="333333"/>
          <w:kern w:val="2"/>
          <w:sz w:val="32"/>
          <w:szCs w:val="32"/>
          <w:lang w:val="en-US" w:eastAsia="zh-CN" w:bidi="ar-SA"/>
        </w:rPr>
        <w:t>明确了承办科室及具体职责</w:t>
      </w:r>
      <w:r>
        <w:rPr>
          <w:rFonts w:hint="eastAsia" w:ascii="仿宋_GB2312" w:hAnsi="仿宋_GB2312" w:eastAsia="仿宋_GB2312" w:cs="仿宋_GB2312"/>
          <w:color w:val="333333"/>
          <w:kern w:val="2"/>
          <w:sz w:val="32"/>
          <w:szCs w:val="32"/>
          <w:lang w:val="en-US" w:eastAsia="zh-CN" w:bidi="ar-SA"/>
        </w:rPr>
        <w:t>，进一步完善了领导体制和工作机制。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hint="eastAsia" w:ascii="仿宋_GB2312" w:hAnsi="仿宋_GB2312" w:eastAsia="仿宋_GB2312" w:cs="仿宋_GB2312"/>
          <w:color w:val="333333"/>
          <w:kern w:val="2"/>
          <w:sz w:val="32"/>
          <w:szCs w:val="32"/>
          <w:lang w:val="en-US" w:eastAsia="zh-CN" w:bidi="ar-SA"/>
        </w:rPr>
      </w:pPr>
      <w:r>
        <w:rPr>
          <w:rFonts w:hint="eastAsia" w:ascii="楷体" w:hAnsi="楷体" w:eastAsia="楷体" w:cs="Helvetica"/>
          <w:color w:val="333333"/>
          <w:sz w:val="32"/>
          <w:szCs w:val="32"/>
        </w:rPr>
        <w:t>二是完善制度体系。</w:t>
      </w:r>
      <w:r>
        <w:rPr>
          <w:rFonts w:hint="eastAsia" w:ascii="仿宋_GB2312" w:hAnsi="仿宋_GB2312" w:eastAsia="仿宋_GB2312" w:cs="仿宋_GB2312"/>
          <w:color w:val="333333"/>
          <w:kern w:val="2"/>
          <w:sz w:val="32"/>
          <w:szCs w:val="32"/>
          <w:lang w:val="en-US" w:eastAsia="zh-CN" w:bidi="ar-SA"/>
        </w:rPr>
        <w:t>制定了本单位政务公开工作实施方案，并进一步细化责任分工；制作了政府信息主动公开目录；按照新修订的政府信息公开条例重新编制了政府信息公开指南。</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hint="eastAsia" w:ascii="仿宋_GB2312" w:hAnsi="仿宋_GB2312" w:eastAsia="仿宋_GB2312" w:cs="仿宋_GB2312"/>
          <w:color w:val="333333"/>
          <w:kern w:val="2"/>
          <w:sz w:val="32"/>
          <w:szCs w:val="32"/>
          <w:lang w:val="en-US" w:eastAsia="zh-CN" w:bidi="ar-SA"/>
        </w:rPr>
      </w:pPr>
      <w:r>
        <w:rPr>
          <w:rFonts w:hint="eastAsia" w:ascii="楷体" w:hAnsi="楷体" w:eastAsia="楷体" w:cs="Helvetica"/>
          <w:color w:val="333333"/>
          <w:sz w:val="32"/>
          <w:szCs w:val="32"/>
        </w:rPr>
        <w:t>三是做好政务公开平台</w:t>
      </w:r>
      <w:r>
        <w:rPr>
          <w:rFonts w:hint="eastAsia" w:ascii="楷体" w:hAnsi="楷体" w:eastAsia="楷体" w:cs="Helvetica"/>
          <w:color w:val="333333"/>
          <w:sz w:val="32"/>
          <w:szCs w:val="32"/>
          <w:lang w:eastAsia="zh-CN"/>
        </w:rPr>
        <w:t>建设</w:t>
      </w:r>
      <w:r>
        <w:rPr>
          <w:rFonts w:hint="eastAsia" w:ascii="楷体" w:hAnsi="楷体" w:eastAsia="楷体" w:cs="Helvetica"/>
          <w:color w:val="333333"/>
          <w:sz w:val="32"/>
          <w:szCs w:val="32"/>
        </w:rPr>
        <w:t>。</w:t>
      </w:r>
      <w:r>
        <w:rPr>
          <w:rFonts w:hint="eastAsia" w:ascii="仿宋_GB2312" w:hAnsi="仿宋_GB2312" w:eastAsia="仿宋_GB2312" w:cs="仿宋_GB2312"/>
          <w:color w:val="333333"/>
          <w:kern w:val="2"/>
          <w:sz w:val="32"/>
          <w:szCs w:val="32"/>
          <w:lang w:val="en-US" w:eastAsia="zh-CN" w:bidi="ar-SA"/>
        </w:rPr>
        <w:t>2019年，我局对部门网站进行了改版，进一步优化网站功能；建立信息发布审核制度，明确专人负责信息发布，在部门网站发布各类政务信息466条。积极维护政府网站部门版块，2019年发布各类政务信息84条。进一步拓展政务公开渠道，充分利用微博微信平台，发布信息98条。</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640"/>
        <w:jc w:val="both"/>
        <w:textAlignment w:val="auto"/>
        <w:rPr>
          <w:rFonts w:hint="eastAsia" w:ascii="仿宋_GB2312" w:hAnsi="仿宋_GB2312" w:eastAsia="仿宋_GB2312" w:cs="仿宋_GB2312"/>
          <w:color w:val="333333"/>
          <w:kern w:val="2"/>
          <w:sz w:val="32"/>
          <w:szCs w:val="32"/>
          <w:lang w:val="en-US" w:eastAsia="zh-CN" w:bidi="ar-SA"/>
        </w:rPr>
      </w:pPr>
      <w:r>
        <w:rPr>
          <w:rFonts w:hint="eastAsia" w:ascii="楷体" w:hAnsi="楷体" w:eastAsia="楷体" w:cs="Helvetica"/>
          <w:color w:val="333333"/>
          <w:sz w:val="32"/>
          <w:szCs w:val="32"/>
          <w:lang w:val="en-US" w:eastAsia="zh-CN"/>
        </w:rPr>
        <w:t>四是</w:t>
      </w:r>
      <w:r>
        <w:rPr>
          <w:rFonts w:hint="eastAsia" w:ascii="楷体" w:hAnsi="楷体" w:eastAsia="楷体" w:cs="Helvetica"/>
          <w:color w:val="333333"/>
          <w:sz w:val="32"/>
          <w:szCs w:val="32"/>
        </w:rPr>
        <w:t>规范依申请公开工作。</w:t>
      </w:r>
      <w:r>
        <w:rPr>
          <w:rFonts w:hint="eastAsia" w:ascii="仿宋_GB2312" w:hAnsi="仿宋_GB2312" w:eastAsia="仿宋_GB2312" w:cs="仿宋_GB2312"/>
          <w:color w:val="333333"/>
          <w:kern w:val="2"/>
          <w:sz w:val="32"/>
          <w:szCs w:val="32"/>
          <w:lang w:val="en-US" w:eastAsia="zh-CN" w:bidi="ar-SA"/>
        </w:rPr>
        <w:t>2019年，我局受理政府信息公开申请5件，全部按期办理，没有因依申请公开引起行政复议或者行政起诉。</w:t>
      </w:r>
    </w:p>
    <w:p>
      <w:pPr>
        <w:pStyle w:val="3"/>
        <w:keepNext w:val="0"/>
        <w:keepLines w:val="0"/>
        <w:widowControl/>
        <w:suppressLineNumbers w:val="0"/>
        <w:spacing w:before="60" w:beforeAutospacing="0" w:after="60" w:afterAutospacing="0"/>
        <w:ind w:right="0" w:firstLine="640" w:firstLineChars="200"/>
        <w:jc w:val="left"/>
        <w:rPr>
          <w:rFonts w:hint="eastAsia" w:ascii="仿宋_GB2312" w:hAnsi="仿宋_GB2312" w:eastAsia="仿宋_GB2312" w:cs="仿宋_GB2312"/>
          <w:color w:val="333333"/>
          <w:kern w:val="2"/>
          <w:sz w:val="32"/>
          <w:szCs w:val="32"/>
          <w:lang w:val="en-US" w:eastAsia="zh-CN" w:bidi="ar-SA"/>
        </w:rPr>
      </w:pPr>
      <w:bookmarkStart w:id="0" w:name="_GoBack"/>
      <w:r>
        <w:rPr>
          <w:rFonts w:hint="eastAsia" w:ascii="楷体" w:hAnsi="楷体" w:eastAsia="楷体" w:cs="Helvetica"/>
          <w:color w:val="333333"/>
          <w:sz w:val="32"/>
          <w:szCs w:val="32"/>
          <w:lang w:val="en-US" w:eastAsia="zh-CN"/>
        </w:rPr>
        <w:t>五是做好人大代表建议和政协委员提案办理结果公开。</w:t>
      </w:r>
      <w:r>
        <w:rPr>
          <w:rFonts w:hint="eastAsia" w:ascii="仿宋_GB2312" w:hAnsi="仿宋_GB2312" w:eastAsia="仿宋_GB2312" w:cs="仿宋_GB2312"/>
          <w:color w:val="333333"/>
          <w:kern w:val="2"/>
          <w:sz w:val="32"/>
          <w:szCs w:val="32"/>
          <w:lang w:val="en-US" w:eastAsia="zh-CN" w:bidi="ar-SA"/>
        </w:rPr>
        <w:t>2019年，市水利局共承办人大建议4件，政协提案1件，均已办理完毕，满意率100%。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516"/>
        <w:rPr>
          <w:rFonts w:hint="default" w:ascii="仿宋_GB2312" w:hAnsi="仿宋_GB2312" w:eastAsia="仿宋_GB2312" w:cs="仿宋_GB2312"/>
          <w:color w:val="333333"/>
          <w:kern w:val="2"/>
          <w:sz w:val="32"/>
          <w:szCs w:val="32"/>
          <w:lang w:val="en-US" w:eastAsia="zh-CN" w:bidi="ar-SA"/>
        </w:rPr>
      </w:pPr>
      <w:r>
        <w:rPr>
          <w:rFonts w:hint="eastAsia" w:ascii="楷体" w:hAnsi="楷体" w:eastAsia="楷体" w:cs="Helvetica"/>
          <w:color w:val="333333"/>
          <w:sz w:val="32"/>
          <w:szCs w:val="32"/>
          <w:lang w:val="en-US" w:eastAsia="zh-CN"/>
        </w:rPr>
        <w:t>六是强化政府信息公开监督保障。</w:t>
      </w:r>
      <w:r>
        <w:rPr>
          <w:rFonts w:hint="eastAsia" w:ascii="仿宋_GB2312" w:hAnsi="仿宋_GB2312" w:eastAsia="仿宋_GB2312" w:cs="仿宋_GB2312"/>
          <w:color w:val="333333"/>
          <w:kern w:val="2"/>
          <w:sz w:val="32"/>
          <w:szCs w:val="32"/>
          <w:lang w:val="en-US" w:eastAsia="zh-CN" w:bidi="ar-SA"/>
        </w:rPr>
        <w:t>将政务公开工作列入全市水利工作要点，明确责任分工，定期调度通报。遵循“谁公开谁审查、谁审查谁负责”、“先审查、后公开”的原则，落实好信息发布保密审查，2019年未发生一起泄密事件。</w:t>
      </w:r>
    </w:p>
    <w:bookmarkEnd w:id="0"/>
    <w:p>
      <w:pPr>
        <w:keepNext w:val="0"/>
        <w:keepLines w:val="0"/>
        <w:pageBreakBefore w:val="0"/>
        <w:widowControl w:val="0"/>
        <w:shd w:val="clear" w:color="auto" w:fill="FFFFFF"/>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rPr>
        <w:t>二、主动公开政府信息情况</w:t>
      </w:r>
    </w:p>
    <w:tbl>
      <w:tblPr>
        <w:tblStyle w:val="4"/>
        <w:tblW w:w="8708" w:type="dxa"/>
        <w:jc w:val="center"/>
        <w:tblInd w:w="0" w:type="dxa"/>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tblLayout w:type="fixed"/>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第二十条第（一）项</w:t>
            </w:r>
          </w:p>
        </w:tc>
      </w:tr>
      <w:tr>
        <w:tblPrEx>
          <w:shd w:val="clear" w:color="auto" w:fill="FFFFFF" w:themeFill="background1"/>
          <w:tblLayout w:type="fixed"/>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本年新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对外公开</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总数量</w:t>
            </w:r>
          </w:p>
        </w:tc>
      </w:tr>
      <w:tr>
        <w:tblPrEx>
          <w:shd w:val="clear" w:color="auto" w:fill="FFFFFF" w:themeFill="background1"/>
          <w:tblLayout w:type="fixed"/>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shd w:val="clear" w:color="auto" w:fill="FFFFFF" w:themeFill="background1"/>
          <w:tblLayout w:type="fixed"/>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shd w:val="clear" w:color="auto" w:fill="FFFFFF" w:themeFill="background1"/>
          <w:tblLayout w:type="fixed"/>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第二十条第（五）项</w:t>
            </w:r>
          </w:p>
        </w:tc>
      </w:tr>
      <w:tr>
        <w:tblPrEx>
          <w:tblLayout w:type="fixed"/>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处理决定数量</w:t>
            </w:r>
          </w:p>
        </w:tc>
      </w:tr>
      <w:tr>
        <w:tblPrEx>
          <w:tblLayout w:type="fixed"/>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11</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减5</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增7</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5</w:t>
            </w:r>
          </w:p>
        </w:tc>
      </w:tr>
      <w:tr>
        <w:tblPrEx>
          <w:tblLayout w:type="fixed"/>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第二十条第（六）项</w:t>
            </w:r>
          </w:p>
        </w:tc>
      </w:tr>
      <w:tr>
        <w:tblPrEx>
          <w:tblLayout w:type="fixed"/>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138</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减4</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r>
      <w:tr>
        <w:tblPrEx>
          <w:shd w:val="clear" w:color="auto" w:fill="FFFFFF" w:themeFill="background1"/>
          <w:tblLayout w:type="fixed"/>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增4</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第二十条第（八）项</w:t>
            </w:r>
          </w:p>
        </w:tc>
      </w:tr>
      <w:tr>
        <w:tblPrEx>
          <w:shd w:val="clear" w:color="auto" w:fill="FFFFFF" w:themeFill="background1"/>
          <w:tblLayout w:type="fixed"/>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本年增/减</w:t>
            </w:r>
          </w:p>
        </w:tc>
      </w:tr>
      <w:tr>
        <w:tblPrEx>
          <w:shd w:val="clear" w:color="auto" w:fill="FFFFFF" w:themeFill="background1"/>
          <w:tblLayout w:type="fixed"/>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减3</w:t>
            </w:r>
          </w:p>
        </w:tc>
      </w:tr>
      <w:tr>
        <w:tblPrEx>
          <w:tblLayout w:type="fixed"/>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第二十条第（九）项</w:t>
            </w:r>
          </w:p>
        </w:tc>
      </w:tr>
      <w:tr>
        <w:tblPrEx>
          <w:shd w:val="clear" w:color="auto" w:fill="FFFFFF" w:themeFill="background1"/>
          <w:tblLayout w:type="fixed"/>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采购总金额</w:t>
            </w:r>
          </w:p>
        </w:tc>
      </w:tr>
      <w:tr>
        <w:tblPrEx>
          <w:tblLayout w:type="fixed"/>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9</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869.578906万元</w:t>
            </w:r>
          </w:p>
        </w:tc>
      </w:tr>
    </w:tbl>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420"/>
        <w:jc w:val="both"/>
        <w:textAlignment w:val="auto"/>
        <w:rPr>
          <w:rFonts w:ascii="宋体" w:hAnsi="宋体" w:eastAsia="宋体" w:cs="宋体"/>
          <w:color w:val="333333"/>
        </w:rPr>
      </w:pPr>
    </w:p>
    <w:p>
      <w:pPr>
        <w:keepNext w:val="0"/>
        <w:keepLines w:val="0"/>
        <w:pageBreakBefore w:val="0"/>
        <w:widowControl w:val="0"/>
        <w:shd w:val="clear" w:color="auto" w:fill="FFFFFF"/>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rPr>
        <w:t>三、收到和处理政府信息公开申请情况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6" w:leftChars="-51" w:right="-107" w:rightChars="-51" w:hanging="1"/>
              <w:jc w:val="center"/>
              <w:textAlignment w:val="auto"/>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7" w:leftChars="-51" w:right="-107" w:rightChars="-51"/>
              <w:jc w:val="center"/>
              <w:textAlignment w:val="auto"/>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7" w:leftChars="-51" w:right="-107" w:rightChars="-51"/>
              <w:jc w:val="center"/>
              <w:textAlignment w:val="auto"/>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6" w:leftChars="-51" w:right="-107" w:rightChars="-51" w:hanging="1"/>
              <w:jc w:val="center"/>
              <w:textAlignment w:val="auto"/>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63" w:leftChars="-30" w:right="-134" w:rightChars="-64"/>
              <w:jc w:val="center"/>
              <w:textAlignment w:val="auto"/>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after="180" w:line="600" w:lineRule="exact"/>
              <w:textAlignment w:val="auto"/>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55"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3"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6"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8"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1"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8"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0"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7" w:leftChars="-51"/>
              <w:textAlignment w:val="auto"/>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8"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ind w:left="-107" w:leftChars="-51"/>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3"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ind w:left="-107" w:leftChars="-51"/>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2"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7" w:leftChars="-51"/>
              <w:textAlignment w:val="auto"/>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1"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8"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5.要求行政机关确认或重新</w:t>
            </w:r>
          </w:p>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6"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rPr>
            </w:pPr>
            <w:r>
              <w:rPr>
                <w:rFonts w:hint="eastAsia" w:ascii="宋体" w:hAnsi="宋体" w:eastAsia="宋体" w:cs="宋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420"/>
        <w:jc w:val="both"/>
        <w:textAlignment w:val="auto"/>
        <w:rPr>
          <w:rFonts w:ascii="宋体" w:hAnsi="宋体" w:eastAsia="宋体" w:cs="宋体"/>
          <w:color w:val="333333"/>
        </w:rPr>
      </w:pPr>
    </w:p>
    <w:p>
      <w:pPr>
        <w:keepNext w:val="0"/>
        <w:keepLines w:val="0"/>
        <w:pageBreakBefore w:val="0"/>
        <w:widowControl w:val="0"/>
        <w:shd w:val="clear" w:color="auto" w:fill="FFFFFF"/>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rPr>
        <w:t>四、政府信息公开行政复议、行政诉讼情况</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600" w:lineRule="exact"/>
        <w:ind w:firstLine="420"/>
        <w:jc w:val="both"/>
        <w:textAlignment w:val="auto"/>
        <w:rPr>
          <w:rFonts w:ascii="宋体" w:hAnsi="宋体" w:eastAsia="宋体" w:cs="宋体"/>
          <w:color w:val="333333"/>
        </w:rPr>
      </w:pP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49" w:leftChars="-71" w:right="-170" w:rightChars="-81"/>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pacing w:line="600" w:lineRule="exact"/>
              <w:ind w:left="-149" w:leftChars="-71" w:right="-170" w:rightChars="-81"/>
              <w:jc w:val="center"/>
              <w:textAlignment w:val="auto"/>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43" w:leftChars="-21" w:right="-132" w:rightChars="-63" w:hanging="1"/>
              <w:jc w:val="center"/>
              <w:textAlignment w:val="auto"/>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82" w:leftChars="-39" w:right="-97" w:rightChars="-46"/>
              <w:jc w:val="center"/>
              <w:textAlignment w:val="auto"/>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18" w:leftChars="-56" w:right="-118" w:rightChars="-56"/>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pacing w:line="600" w:lineRule="exact"/>
              <w:ind w:left="-118" w:leftChars="-56" w:right="-118" w:rightChars="-56"/>
              <w:jc w:val="center"/>
              <w:textAlignment w:val="auto"/>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总</w:t>
            </w:r>
          </w:p>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textAlignment w:val="auto"/>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05" w:leftChars="-50" w:right="-126" w:rightChars="-60"/>
              <w:jc w:val="center"/>
              <w:textAlignment w:val="auto"/>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86" w:leftChars="-41" w:right="-88" w:rightChars="-42"/>
              <w:jc w:val="center"/>
              <w:textAlignment w:val="auto"/>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26" w:leftChars="-60" w:right="-136" w:rightChars="-65"/>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pacing w:line="600" w:lineRule="exact"/>
              <w:ind w:left="-126" w:leftChars="-60" w:right="-136" w:rightChars="-65"/>
              <w:jc w:val="center"/>
              <w:textAlignment w:val="auto"/>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64" w:leftChars="-78" w:right="-153" w:rightChars="-73"/>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pacing w:line="600" w:lineRule="exact"/>
              <w:ind w:left="-164" w:leftChars="-78" w:right="-153" w:rightChars="-73"/>
              <w:jc w:val="center"/>
              <w:textAlignment w:val="auto"/>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99" w:leftChars="-47" w:right="-78" w:rightChars="-37"/>
              <w:jc w:val="center"/>
              <w:textAlignment w:val="auto"/>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36" w:leftChars="-65" w:right="-124" w:rightChars="-59"/>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pacing w:line="600" w:lineRule="exact"/>
              <w:ind w:left="-136" w:leftChars="-65" w:right="-124" w:rightChars="-59"/>
              <w:jc w:val="center"/>
              <w:textAlignment w:val="auto"/>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173" w:leftChars="-83" w:right="-134" w:rightChars="-64" w:hanging="1"/>
              <w:jc w:val="center"/>
              <w:textAlignment w:val="auto"/>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keepNext w:val="0"/>
              <w:keepLines w:val="0"/>
              <w:pageBreakBefore w:val="0"/>
              <w:widowControl/>
              <w:kinsoku/>
              <w:wordWrap/>
              <w:overflowPunct/>
              <w:topLinePunct w:val="0"/>
              <w:autoSpaceDE/>
              <w:autoSpaceDN/>
              <w:bidi w:val="0"/>
              <w:adjustRightInd/>
              <w:spacing w:line="600" w:lineRule="exact"/>
              <w:ind w:left="-173" w:leftChars="-83" w:right="-134" w:rightChars="-64" w:hanging="1"/>
              <w:jc w:val="center"/>
              <w:textAlignment w:val="auto"/>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67" w:leftChars="-33" w:right="-105" w:rightChars="-50" w:hanging="2" w:hangingChars="1"/>
              <w:jc w:val="center"/>
              <w:textAlignment w:val="auto"/>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pacing w:line="600" w:lineRule="exact"/>
              <w:jc w:val="center"/>
              <w:textAlignment w:val="auto"/>
              <w:rPr>
                <w:rFonts w:hint="eastAsia"/>
                <w:lang w:val="en-US" w:eastAsia="zh-CN"/>
              </w:rPr>
            </w:pPr>
            <w:r>
              <w:rPr>
                <w:rFonts w:hint="eastAsia"/>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pacing w:line="600" w:lineRule="exact"/>
        <w:jc w:val="center"/>
        <w:textAlignment w:val="auto"/>
        <w:rPr>
          <w:rFonts w:ascii="宋体" w:hAnsi="宋体" w:eastAsia="宋体" w:cs="宋体"/>
          <w:color w:val="333333"/>
          <w:sz w:val="24"/>
        </w:rPr>
      </w:pPr>
    </w:p>
    <w:p>
      <w:pPr>
        <w:keepNext w:val="0"/>
        <w:keepLines w:val="0"/>
        <w:pageBreakBefore w:val="0"/>
        <w:widowControl w:val="0"/>
        <w:shd w:val="clear" w:color="auto" w:fill="FFFFFF"/>
        <w:kinsoku/>
        <w:wordWrap/>
        <w:overflowPunct/>
        <w:topLinePunct w:val="0"/>
        <w:autoSpaceDE/>
        <w:autoSpaceDN/>
        <w:bidi w:val="0"/>
        <w:adjustRightInd/>
        <w:snapToGrid/>
        <w:spacing w:after="0" w:line="600" w:lineRule="exact"/>
        <w:ind w:firstLine="640" w:firstLineChars="200"/>
        <w:jc w:val="both"/>
        <w:textAlignment w:val="auto"/>
        <w:rPr>
          <w:rFonts w:hint="eastAsia"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lang w:val="en-US" w:eastAsia="zh-CN"/>
        </w:rPr>
        <w:t>五、</w:t>
      </w:r>
      <w:r>
        <w:rPr>
          <w:rFonts w:hint="eastAsia" w:ascii="黑体" w:hAnsi="黑体" w:eastAsia="黑体"/>
          <w:bCs/>
          <w:color w:val="auto"/>
          <w:sz w:val="32"/>
          <w:szCs w:val="32"/>
          <w:shd w:val="clear" w:color="auto" w:fill="FFFFFF"/>
        </w:rPr>
        <w:t>存在的主要问题及改进情况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 w:hAnsi="仿宋" w:eastAsia="仿宋"/>
          <w:color w:val="333333"/>
          <w:kern w:val="2"/>
          <w:sz w:val="32"/>
          <w:szCs w:val="32"/>
          <w:lang w:val="en-US" w:eastAsia="zh-CN"/>
        </w:rPr>
      </w:pPr>
      <w:r>
        <w:rPr>
          <w:rFonts w:hint="eastAsia" w:ascii="仿宋" w:hAnsi="仿宋" w:eastAsia="仿宋"/>
          <w:color w:val="333333"/>
          <w:kern w:val="2"/>
          <w:sz w:val="32"/>
          <w:szCs w:val="32"/>
        </w:rPr>
        <w:t>2019年，我局政务公开工作虽然取得了一定成效，但也存在一些不足：</w:t>
      </w:r>
      <w:r>
        <w:rPr>
          <w:rFonts w:hint="eastAsia" w:ascii="楷体" w:hAnsi="楷体" w:eastAsia="楷体"/>
          <w:color w:val="333333"/>
          <w:kern w:val="2"/>
          <w:sz w:val="32"/>
          <w:szCs w:val="32"/>
        </w:rPr>
        <w:t>一是</w:t>
      </w:r>
      <w:r>
        <w:rPr>
          <w:rFonts w:hint="eastAsia" w:ascii="仿宋" w:hAnsi="仿宋" w:eastAsia="仿宋"/>
          <w:color w:val="333333"/>
          <w:kern w:val="2"/>
          <w:sz w:val="32"/>
          <w:szCs w:val="32"/>
        </w:rPr>
        <w:t>对政府信息公开工作宣传培训力度不够。对新修订的《中华人民共和国政府信息公开条例》的宣传力度不足，缺乏对科室具体业务人员的培训，还存在个别科室、人员思想认识不足、业务不熟练的问题；</w:t>
      </w:r>
      <w:r>
        <w:rPr>
          <w:rFonts w:hint="eastAsia" w:ascii="楷体" w:hAnsi="楷体" w:eastAsia="楷体"/>
          <w:color w:val="333333"/>
          <w:kern w:val="2"/>
          <w:sz w:val="32"/>
          <w:szCs w:val="32"/>
        </w:rPr>
        <w:t>二是</w:t>
      </w:r>
      <w:r>
        <w:rPr>
          <w:rFonts w:hint="eastAsia" w:ascii="仿宋" w:hAnsi="仿宋" w:eastAsia="仿宋"/>
          <w:color w:val="333333"/>
          <w:kern w:val="2"/>
          <w:sz w:val="32"/>
          <w:szCs w:val="32"/>
          <w:lang w:val="en-US" w:eastAsia="zh-CN"/>
        </w:rPr>
        <w:t>政府信息主动公开的范围有待进一步扩大，时效性有待进一步提升。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olor w:val="333333"/>
          <w:kern w:val="2"/>
          <w:sz w:val="32"/>
          <w:szCs w:val="32"/>
          <w:lang w:val="en-US" w:eastAsia="zh-CN"/>
        </w:rPr>
      </w:pPr>
      <w:r>
        <w:rPr>
          <w:rFonts w:hint="eastAsia" w:ascii="仿宋" w:hAnsi="仿宋" w:eastAsia="仿宋"/>
          <w:color w:val="333333"/>
          <w:kern w:val="2"/>
          <w:sz w:val="32"/>
          <w:szCs w:val="32"/>
        </w:rPr>
        <w:t>2020年，我们将重点做好以下几个方面工作：</w:t>
      </w:r>
      <w:r>
        <w:rPr>
          <w:rFonts w:hint="eastAsia" w:ascii="楷体" w:hAnsi="楷体" w:eastAsia="楷体"/>
          <w:color w:val="333333"/>
          <w:kern w:val="2"/>
          <w:sz w:val="32"/>
          <w:szCs w:val="32"/>
        </w:rPr>
        <w:t>一是加强队伍建设</w:t>
      </w:r>
      <w:r>
        <w:rPr>
          <w:rFonts w:hint="eastAsia" w:ascii="楷体" w:hAnsi="楷体" w:eastAsia="楷体"/>
          <w:color w:val="333333"/>
          <w:kern w:val="2"/>
          <w:sz w:val="32"/>
          <w:szCs w:val="32"/>
          <w:lang w:eastAsia="zh-CN"/>
        </w:rPr>
        <w:t>。</w:t>
      </w:r>
      <w:r>
        <w:rPr>
          <w:rFonts w:hint="eastAsia" w:ascii="仿宋" w:hAnsi="仿宋" w:eastAsia="仿宋"/>
          <w:color w:val="333333"/>
          <w:kern w:val="2"/>
          <w:sz w:val="32"/>
          <w:szCs w:val="32"/>
          <w:lang w:val="en-US" w:eastAsia="zh-CN"/>
        </w:rPr>
        <w:t>加大对政府信息公开有关制度的宣传力度，开展针对性的政务公开培训，进一步提高全局对政务公开工作的认识程度和政务公开业务人员的专业技能。</w:t>
      </w:r>
      <w:r>
        <w:rPr>
          <w:rFonts w:hint="eastAsia" w:ascii="楷体" w:hAnsi="楷体" w:eastAsia="楷体"/>
          <w:color w:val="333333"/>
          <w:kern w:val="2"/>
          <w:sz w:val="32"/>
          <w:szCs w:val="32"/>
          <w:lang w:val="en-US" w:eastAsia="zh-CN"/>
        </w:rPr>
        <w:t>二是加强政府信息主动公开目录建设。</w:t>
      </w:r>
      <w:r>
        <w:rPr>
          <w:rFonts w:hint="eastAsia" w:ascii="仿宋" w:hAnsi="仿宋" w:eastAsia="仿宋"/>
          <w:color w:val="333333"/>
          <w:kern w:val="2"/>
          <w:sz w:val="32"/>
          <w:szCs w:val="32"/>
          <w:lang w:val="en-US" w:eastAsia="zh-CN"/>
        </w:rPr>
        <w:t>结合重点水利工作和公众关切，及时更新主动公开目录，进一步扩大公开范围。</w:t>
      </w:r>
      <w:r>
        <w:rPr>
          <w:rFonts w:hint="eastAsia" w:ascii="楷体" w:hAnsi="楷体" w:eastAsia="楷体"/>
          <w:color w:val="333333"/>
          <w:kern w:val="2"/>
          <w:sz w:val="32"/>
          <w:szCs w:val="32"/>
          <w:lang w:val="en-US" w:eastAsia="zh-CN"/>
        </w:rPr>
        <w:t>三是完善制度建设。</w:t>
      </w:r>
      <w:r>
        <w:rPr>
          <w:rFonts w:hint="eastAsia" w:ascii="仿宋" w:hAnsi="仿宋" w:eastAsia="仿宋"/>
          <w:color w:val="333333"/>
          <w:kern w:val="2"/>
          <w:sz w:val="32"/>
          <w:szCs w:val="32"/>
          <w:lang w:val="en-US" w:eastAsia="zh-CN"/>
        </w:rPr>
        <w:t>进一步完善主动公开工作机制，规范依申请公开流程，确保政府信息公开的时效性。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bCs/>
          <w:color w:val="auto"/>
          <w:sz w:val="32"/>
          <w:szCs w:val="32"/>
          <w:shd w:val="clear" w:color="auto" w:fill="FFFFFF"/>
        </w:rPr>
      </w:pPr>
      <w:r>
        <w:rPr>
          <w:rFonts w:hint="eastAsia" w:ascii="黑体" w:hAnsi="黑体" w:eastAsia="黑体"/>
          <w:bCs/>
          <w:color w:val="auto"/>
          <w:sz w:val="32"/>
          <w:szCs w:val="32"/>
          <w:shd w:val="clear" w:color="auto" w:fill="FFFFFF"/>
        </w:rPr>
        <w:t>六、其他需要报告的事项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 w:hAnsi="仿宋" w:eastAsia="仿宋"/>
          <w:color w:val="333333"/>
          <w:kern w:val="2"/>
          <w:sz w:val="32"/>
          <w:szCs w:val="32"/>
          <w:lang w:val="en-US" w:eastAsia="zh-CN"/>
        </w:rPr>
      </w:pPr>
      <w:r>
        <w:rPr>
          <w:rFonts w:hint="eastAsia" w:ascii="仿宋" w:hAnsi="仿宋" w:eastAsia="仿宋"/>
          <w:color w:val="333333"/>
          <w:kern w:val="2"/>
          <w:sz w:val="32"/>
          <w:szCs w:val="32"/>
          <w:lang w:val="en-US" w:eastAsia="zh-CN"/>
        </w:rPr>
        <w:t>无。</w:t>
      </w:r>
    </w:p>
    <w:p>
      <w:pPr>
        <w:keepNext w:val="0"/>
        <w:keepLines w:val="0"/>
        <w:pageBreakBefore w:val="0"/>
        <w:kinsoku/>
        <w:wordWrap/>
        <w:overflowPunct/>
        <w:topLinePunct w:val="0"/>
        <w:autoSpaceDE/>
        <w:autoSpaceDN/>
        <w:bidi w:val="0"/>
        <w:adjustRightInd/>
        <w:spacing w:line="600" w:lineRule="exact"/>
        <w:textAlignment w:val="auto"/>
      </w:pPr>
    </w:p>
    <w:p>
      <w:pPr>
        <w:keepNext w:val="0"/>
        <w:keepLines w:val="0"/>
        <w:pageBreakBefore w:val="0"/>
        <w:kinsoku/>
        <w:wordWrap/>
        <w:overflowPunct/>
        <w:topLinePunct w:val="0"/>
        <w:autoSpaceDE/>
        <w:autoSpaceDN/>
        <w:bidi w:val="0"/>
        <w:adjustRightIn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0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F70FA"/>
    <w:rsid w:val="00C90FA4"/>
    <w:rsid w:val="07E84296"/>
    <w:rsid w:val="1624475A"/>
    <w:rsid w:val="16513F87"/>
    <w:rsid w:val="18DF61B1"/>
    <w:rsid w:val="1EE23215"/>
    <w:rsid w:val="2CFF6462"/>
    <w:rsid w:val="44815072"/>
    <w:rsid w:val="4ED46E6A"/>
    <w:rsid w:val="730F70FA"/>
    <w:rsid w:val="76B4397F"/>
    <w:rsid w:val="7A0A1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2020-01-19T03:31:00Z</dcterms:created>
  <dc:creator>潇潇</dc:creator>
  <cp:lastModifiedBy>潇潇</cp:lastModifiedBy>
  <dcterms:modified xsi:type="dcterms:W3CDTF">2020-07-16T08:52:15Z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